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47AC" w14:textId="450E193D" w:rsidR="006D442B" w:rsidRDefault="006D442B">
      <w:pPr>
        <w:rPr>
          <w:noProof/>
          <w:lang w:val="en-US" w:eastAsia="en-GB"/>
        </w:rPr>
      </w:pPr>
    </w:p>
    <w:p w14:paraId="0B16AD84" w14:textId="0A33A491" w:rsidR="00724090" w:rsidRPr="00724090" w:rsidRDefault="00C86B32" w:rsidP="00C86B32">
      <w:pPr>
        <w:rPr>
          <w:lang w:val="en-US"/>
        </w:rPr>
      </w:pPr>
      <w:r>
        <w:rPr>
          <w:noProof/>
          <w:u w:val="single"/>
          <w:lang w:val="en-US" w:eastAsia="en-GB"/>
        </w:rPr>
        <w:t>Identifying Human Rights Risks</w:t>
      </w:r>
    </w:p>
    <w:p w14:paraId="18A58235" w14:textId="25011753" w:rsidR="00724090" w:rsidRDefault="00C86B32" w:rsidP="00724090">
      <w:pPr>
        <w:rPr>
          <w:lang w:val="en-US"/>
        </w:rPr>
      </w:pPr>
      <w:r>
        <w:rPr>
          <w:lang w:val="en-US"/>
        </w:rPr>
        <w:t>P F Cusack (Tool Supplies) ltd carry out a risk analysis of the salient risks to our supply chains and where our suppliers are situated globally.</w:t>
      </w:r>
      <w:r w:rsidR="00B51B15">
        <w:rPr>
          <w:lang w:val="en-US"/>
        </w:rPr>
        <w:t xml:space="preserve"> This analysis is in line with ETI’s 9 point base code</w:t>
      </w:r>
      <w:r w:rsidR="00CE037C">
        <w:rPr>
          <w:lang w:val="en-US"/>
        </w:rPr>
        <w:t xml:space="preserve"> and UN Guiding Principles for Business and Human Rights</w:t>
      </w:r>
      <w:r w:rsidR="00B51B15">
        <w:rPr>
          <w:lang w:val="en-US"/>
        </w:rPr>
        <w:t xml:space="preserve"> and aids in giving us a complete picture of our suppliers  and the areas where we need to prioritise our attention </w:t>
      </w:r>
      <w:r w:rsidR="00101ADF">
        <w:rPr>
          <w:lang w:val="en-US"/>
        </w:rPr>
        <w:t xml:space="preserve">with the salient risks recorded both as a formal risk assessment (see question 1.6) and in a condensed form (see answer to question1.4). </w:t>
      </w:r>
    </w:p>
    <w:p w14:paraId="4B63BCF3" w14:textId="29521D7B" w:rsidR="0031363F" w:rsidRDefault="0031363F" w:rsidP="00724090">
      <w:pPr>
        <w:rPr>
          <w:lang w:val="en-US"/>
        </w:rPr>
      </w:pPr>
      <w:r>
        <w:rPr>
          <w:lang w:val="en-US"/>
        </w:rPr>
        <w:t>These risks are: -</w:t>
      </w:r>
    </w:p>
    <w:p w14:paraId="4D8B994D" w14:textId="3B50C4C6" w:rsidR="0031363F" w:rsidRDefault="0031363F" w:rsidP="00724090">
      <w:pPr>
        <w:rPr>
          <w:lang w:val="en-US"/>
        </w:rPr>
      </w:pPr>
      <w:r>
        <w:rPr>
          <w:lang w:val="en-US"/>
        </w:rPr>
        <w:t>Health and Safety in China</w:t>
      </w:r>
    </w:p>
    <w:p w14:paraId="37369AB9" w14:textId="59602B0F" w:rsidR="0031363F" w:rsidRDefault="0031363F" w:rsidP="00724090">
      <w:pPr>
        <w:rPr>
          <w:lang w:val="en-US"/>
        </w:rPr>
      </w:pPr>
      <w:r>
        <w:rPr>
          <w:lang w:val="en-US"/>
        </w:rPr>
        <w:t>Gender discrimination in India</w:t>
      </w:r>
    </w:p>
    <w:p w14:paraId="6E8AC08D" w14:textId="17FCFF44" w:rsidR="0031363F" w:rsidRDefault="0031363F" w:rsidP="00724090">
      <w:pPr>
        <w:rPr>
          <w:lang w:val="en-US"/>
        </w:rPr>
      </w:pPr>
      <w:r>
        <w:rPr>
          <w:lang w:val="en-US"/>
        </w:rPr>
        <w:t>Decent Working Hours in China</w:t>
      </w:r>
    </w:p>
    <w:p w14:paraId="494C01EB" w14:textId="777CA523" w:rsidR="0031363F" w:rsidRDefault="0031363F" w:rsidP="00724090">
      <w:pPr>
        <w:rPr>
          <w:lang w:val="en-US"/>
        </w:rPr>
      </w:pPr>
      <w:r>
        <w:rPr>
          <w:lang w:val="en-US"/>
        </w:rPr>
        <w:t>Modern Slavery in India and China</w:t>
      </w:r>
    </w:p>
    <w:p w14:paraId="5799F281" w14:textId="573702E4" w:rsidR="001B4A2B" w:rsidRDefault="001B4A2B" w:rsidP="00724090">
      <w:pPr>
        <w:rPr>
          <w:u w:val="single"/>
          <w:lang w:val="en-US"/>
        </w:rPr>
      </w:pPr>
      <w:r w:rsidRPr="001B4A2B">
        <w:rPr>
          <w:u w:val="single"/>
          <w:lang w:val="en-US"/>
        </w:rPr>
        <w:t>Identifying Risks</w:t>
      </w:r>
    </w:p>
    <w:p w14:paraId="0E68AAA9" w14:textId="5325C78D" w:rsidR="001B4A2B" w:rsidRDefault="001B4A2B" w:rsidP="00724090">
      <w:pPr>
        <w:rPr>
          <w:lang w:val="en-US"/>
        </w:rPr>
      </w:pPr>
      <w:r>
        <w:rPr>
          <w:lang w:val="en-US"/>
        </w:rPr>
        <w:t>Our ethic</w:t>
      </w:r>
      <w:r w:rsidR="00596017">
        <w:rPr>
          <w:lang w:val="en-US"/>
        </w:rPr>
        <w:t>al business practices and procurement policy se</w:t>
      </w:r>
      <w:r w:rsidR="00BD7D7A">
        <w:rPr>
          <w:lang w:val="en-US"/>
        </w:rPr>
        <w:t>rves as a guide to how we risk assess our supply chain and our overseas suppliers</w:t>
      </w:r>
      <w:r w:rsidR="00911045">
        <w:rPr>
          <w:lang w:val="en-US"/>
        </w:rPr>
        <w:t>. All of our tier 1 suppliers are assessed for human rights due diligence, health and safety, environmental and sustainability. From this information we then able to address and where necessary put into place any remedial actions.</w:t>
      </w:r>
    </w:p>
    <w:p w14:paraId="26CAAAA9" w14:textId="6DABDA5C" w:rsidR="00911045" w:rsidRDefault="00911045" w:rsidP="00724090">
      <w:pPr>
        <w:rPr>
          <w:u w:val="single"/>
          <w:lang w:val="en-US"/>
        </w:rPr>
      </w:pPr>
      <w:r w:rsidRPr="00911045">
        <w:rPr>
          <w:u w:val="single"/>
          <w:lang w:val="en-US"/>
        </w:rPr>
        <w:t>Assessment Process</w:t>
      </w:r>
    </w:p>
    <w:p w14:paraId="3CDE3962" w14:textId="196FE1A9" w:rsidR="00911045" w:rsidRDefault="00911045" w:rsidP="00911045">
      <w:pPr>
        <w:rPr>
          <w:rFonts w:ascii="Arial" w:hAnsi="Arial" w:cs="Arial"/>
        </w:rPr>
      </w:pPr>
      <w:r w:rsidRPr="001F6FB3">
        <w:rPr>
          <w:rFonts w:ascii="Arial" w:hAnsi="Arial" w:cs="Arial"/>
        </w:rPr>
        <w:t xml:space="preserve">The aim of </w:t>
      </w:r>
      <w:r>
        <w:rPr>
          <w:rFonts w:ascii="Arial" w:hAnsi="Arial" w:cs="Arial"/>
        </w:rPr>
        <w:t>our risk assessment procedures is to proactively identify and eliminate hazards and reduce risks in all settings by adding precautions or control measures, to create a safe working environment within P. F Cusack (Tool Supplies) Ltd. With this in mind for our ethical trading risk assessments we use</w:t>
      </w:r>
      <w:r w:rsidR="001408BD">
        <w:rPr>
          <w:rFonts w:ascii="Arial" w:hAnsi="Arial" w:cs="Arial"/>
        </w:rPr>
        <w:t xml:space="preserve"> a number of different methods for data collection. These include: -</w:t>
      </w:r>
    </w:p>
    <w:p w14:paraId="1DFBC5F6" w14:textId="1147FBEB" w:rsidR="001408BD" w:rsidRDefault="001408BD" w:rsidP="001408BD">
      <w:pPr>
        <w:pStyle w:val="ListParagraph"/>
        <w:numPr>
          <w:ilvl w:val="0"/>
          <w:numId w:val="3"/>
        </w:numPr>
        <w:rPr>
          <w:rFonts w:ascii="Arial" w:hAnsi="Arial" w:cs="Arial"/>
        </w:rPr>
      </w:pPr>
      <w:r w:rsidRPr="001408BD">
        <w:rPr>
          <w:rFonts w:ascii="Arial" w:hAnsi="Arial" w:cs="Arial"/>
        </w:rPr>
        <w:t>Suppliers questionnaires sent out at regular intervals and</w:t>
      </w:r>
      <w:r>
        <w:rPr>
          <w:rFonts w:ascii="Arial" w:hAnsi="Arial" w:cs="Arial"/>
        </w:rPr>
        <w:t xml:space="preserve"> the results correlated into a suppliers matrix</w:t>
      </w:r>
    </w:p>
    <w:p w14:paraId="142FBF7B" w14:textId="1550F089" w:rsidR="001408BD" w:rsidRDefault="001408BD" w:rsidP="001408BD">
      <w:pPr>
        <w:pStyle w:val="ListParagraph"/>
        <w:numPr>
          <w:ilvl w:val="0"/>
          <w:numId w:val="3"/>
        </w:numPr>
        <w:rPr>
          <w:rFonts w:ascii="Arial" w:hAnsi="Arial" w:cs="Arial"/>
        </w:rPr>
      </w:pPr>
      <w:r>
        <w:rPr>
          <w:rFonts w:ascii="Arial" w:hAnsi="Arial" w:cs="Arial"/>
        </w:rPr>
        <w:t>SEDEX membership and SMETA 4 pillar audits</w:t>
      </w:r>
    </w:p>
    <w:p w14:paraId="3FAD45B3" w14:textId="7005D582" w:rsidR="001408BD" w:rsidRDefault="001408BD" w:rsidP="001408BD">
      <w:pPr>
        <w:pStyle w:val="ListParagraph"/>
        <w:numPr>
          <w:ilvl w:val="0"/>
          <w:numId w:val="3"/>
        </w:numPr>
        <w:rPr>
          <w:rFonts w:ascii="Arial" w:hAnsi="Arial" w:cs="Arial"/>
        </w:rPr>
      </w:pPr>
      <w:r>
        <w:rPr>
          <w:rFonts w:ascii="Arial" w:hAnsi="Arial" w:cs="Arial"/>
        </w:rPr>
        <w:t>Our own site visits and audits</w:t>
      </w:r>
    </w:p>
    <w:p w14:paraId="730D3BA5" w14:textId="3E78F640" w:rsidR="001408BD" w:rsidRDefault="001408BD" w:rsidP="001408BD">
      <w:pPr>
        <w:pStyle w:val="ListParagraph"/>
        <w:numPr>
          <w:ilvl w:val="0"/>
          <w:numId w:val="3"/>
        </w:numPr>
        <w:rPr>
          <w:rFonts w:ascii="Arial" w:hAnsi="Arial" w:cs="Arial"/>
        </w:rPr>
      </w:pPr>
      <w:r>
        <w:rPr>
          <w:rFonts w:ascii="Arial" w:hAnsi="Arial" w:cs="Arial"/>
        </w:rPr>
        <w:t>Client/stakeholder recommendations</w:t>
      </w:r>
    </w:p>
    <w:p w14:paraId="2F6B59C6" w14:textId="045643D5" w:rsidR="001408BD" w:rsidRPr="001408BD" w:rsidRDefault="00CE037C" w:rsidP="001408BD">
      <w:pPr>
        <w:rPr>
          <w:rFonts w:ascii="Arial" w:hAnsi="Arial" w:cs="Arial"/>
        </w:rPr>
      </w:pPr>
      <w:r>
        <w:rPr>
          <w:rFonts w:ascii="Arial" w:hAnsi="Arial" w:cs="Arial"/>
        </w:rPr>
        <w:lastRenderedPageBreak/>
        <w:t>Our supply Chains are monitored at monthly intervals or when there are any global changes that may have an effect on our supply chain and our risk assessments changed accordingly.</w:t>
      </w:r>
    </w:p>
    <w:p w14:paraId="1157EB56" w14:textId="210EF804" w:rsidR="001408BD" w:rsidRDefault="00110FE8" w:rsidP="00911045">
      <w:pPr>
        <w:rPr>
          <w:rFonts w:ascii="Arial" w:hAnsi="Arial" w:cs="Arial"/>
          <w:u w:val="single"/>
        </w:rPr>
      </w:pPr>
      <w:r w:rsidRPr="00110FE8">
        <w:rPr>
          <w:rFonts w:ascii="Arial" w:hAnsi="Arial" w:cs="Arial"/>
          <w:u w:val="single"/>
        </w:rPr>
        <w:t>Risk Prioritisation</w:t>
      </w:r>
    </w:p>
    <w:p w14:paraId="52CC196E" w14:textId="738ED17A" w:rsidR="00911045" w:rsidRDefault="00110FE8" w:rsidP="00724090">
      <w:pPr>
        <w:rPr>
          <w:rFonts w:ascii="Arial" w:hAnsi="Arial" w:cs="Arial"/>
        </w:rPr>
      </w:pPr>
      <w:r>
        <w:rPr>
          <w:rFonts w:ascii="Arial" w:hAnsi="Arial" w:cs="Arial"/>
        </w:rPr>
        <w:t>Having completed our assessments each risk is given a score based on the likelihood and severity which in turn gives us a risk rating</w:t>
      </w:r>
    </w:p>
    <w:p w14:paraId="34FEE308" w14:textId="77777777" w:rsidR="00C65EE9" w:rsidRDefault="00C65EE9" w:rsidP="00724090">
      <w:pPr>
        <w:rPr>
          <w:rFonts w:ascii="Arial" w:hAnsi="Arial" w:cs="Arial"/>
        </w:rPr>
      </w:pPr>
    </w:p>
    <w:p w14:paraId="28FD0801" w14:textId="77777777" w:rsidR="00C65EE9" w:rsidRPr="00C65EE9" w:rsidRDefault="00C65EE9" w:rsidP="00724090">
      <w:pPr>
        <w:rPr>
          <w:rFonts w:ascii="Arial" w:hAnsi="Arial" w:cs="Arial"/>
        </w:rPr>
      </w:pPr>
    </w:p>
    <w:p w14:paraId="295692ED" w14:textId="77777777" w:rsidR="00911045" w:rsidRPr="001408BD" w:rsidRDefault="00911045" w:rsidP="00724090">
      <w:pPr>
        <w:rPr>
          <w:u w:val="single"/>
        </w:rPr>
      </w:pPr>
    </w:p>
    <w:tbl>
      <w:tblPr>
        <w:tblStyle w:val="TableGrid"/>
        <w:tblW w:w="3931" w:type="pct"/>
        <w:tblInd w:w="960" w:type="dxa"/>
        <w:tblLook w:val="04A0" w:firstRow="1" w:lastRow="0" w:firstColumn="1" w:lastColumn="0" w:noHBand="0" w:noVBand="1"/>
      </w:tblPr>
      <w:tblGrid>
        <w:gridCol w:w="5876"/>
        <w:gridCol w:w="5090"/>
      </w:tblGrid>
      <w:tr w:rsidR="00911045" w14:paraId="16859DA0" w14:textId="77777777" w:rsidTr="0005714B">
        <w:tc>
          <w:tcPr>
            <w:tcW w:w="2679" w:type="pct"/>
          </w:tcPr>
          <w:p w14:paraId="6AB11DCB" w14:textId="77777777" w:rsidR="00911045" w:rsidRPr="00A60186" w:rsidRDefault="00911045" w:rsidP="0005714B">
            <w:pPr>
              <w:autoSpaceDE w:val="0"/>
              <w:autoSpaceDN w:val="0"/>
              <w:adjustRightInd w:val="0"/>
              <w:jc w:val="center"/>
              <w:rPr>
                <w:rFonts w:ascii="Arial" w:hAnsi="Arial" w:cs="Arial"/>
                <w:b/>
                <w:bCs/>
                <w:color w:val="000000"/>
              </w:rPr>
            </w:pPr>
            <w:r w:rsidRPr="00A60186">
              <w:rPr>
                <w:rFonts w:ascii="Arial" w:hAnsi="Arial" w:cs="Arial"/>
                <w:b/>
                <w:bCs/>
                <w:color w:val="000000"/>
              </w:rPr>
              <w:t>Risk Rating Score</w:t>
            </w:r>
          </w:p>
        </w:tc>
        <w:tc>
          <w:tcPr>
            <w:tcW w:w="2321" w:type="pct"/>
          </w:tcPr>
          <w:p w14:paraId="27D0F64D" w14:textId="77777777" w:rsidR="00911045" w:rsidRPr="00A60186" w:rsidRDefault="00911045" w:rsidP="0005714B">
            <w:pPr>
              <w:autoSpaceDE w:val="0"/>
              <w:autoSpaceDN w:val="0"/>
              <w:adjustRightInd w:val="0"/>
              <w:jc w:val="center"/>
              <w:rPr>
                <w:rFonts w:ascii="Arial" w:hAnsi="Arial" w:cs="Arial"/>
                <w:b/>
                <w:bCs/>
                <w:color w:val="000000"/>
              </w:rPr>
            </w:pPr>
            <w:r w:rsidRPr="00A60186">
              <w:rPr>
                <w:rFonts w:ascii="Arial" w:hAnsi="Arial" w:cs="Arial"/>
                <w:b/>
                <w:bCs/>
                <w:color w:val="000000"/>
              </w:rPr>
              <w:t>Action</w:t>
            </w:r>
          </w:p>
        </w:tc>
      </w:tr>
      <w:tr w:rsidR="00911045" w14:paraId="0BA932BB" w14:textId="77777777" w:rsidTr="0005714B">
        <w:tc>
          <w:tcPr>
            <w:tcW w:w="2679" w:type="pct"/>
            <w:shd w:val="clear" w:color="auto" w:fill="B3E5A1" w:themeFill="accent6" w:themeFillTint="66"/>
          </w:tcPr>
          <w:p w14:paraId="1EFCB8B3"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1 - 4</w:t>
            </w:r>
          </w:p>
        </w:tc>
        <w:tc>
          <w:tcPr>
            <w:tcW w:w="2321" w:type="pct"/>
            <w:shd w:val="clear" w:color="auto" w:fill="B3E5A1" w:themeFill="accent6" w:themeFillTint="66"/>
          </w:tcPr>
          <w:p w14:paraId="60467FFF"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Broadly acceptable-no action required</w:t>
            </w:r>
          </w:p>
        </w:tc>
      </w:tr>
      <w:tr w:rsidR="00911045" w14:paraId="45456B08" w14:textId="77777777" w:rsidTr="0005714B">
        <w:tc>
          <w:tcPr>
            <w:tcW w:w="2679" w:type="pct"/>
            <w:shd w:val="clear" w:color="auto" w:fill="FFFF00"/>
          </w:tcPr>
          <w:p w14:paraId="750BE248"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5 - 9</w:t>
            </w:r>
          </w:p>
        </w:tc>
        <w:tc>
          <w:tcPr>
            <w:tcW w:w="2321" w:type="pct"/>
            <w:shd w:val="clear" w:color="auto" w:fill="FFFF00"/>
          </w:tcPr>
          <w:p w14:paraId="63F4E6C1"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Moderate-reduce risks if reasonably practicable</w:t>
            </w:r>
          </w:p>
        </w:tc>
      </w:tr>
      <w:tr w:rsidR="00911045" w14:paraId="740AFDD1" w14:textId="77777777" w:rsidTr="0005714B">
        <w:tc>
          <w:tcPr>
            <w:tcW w:w="2679" w:type="pct"/>
            <w:shd w:val="clear" w:color="auto" w:fill="FFC000"/>
          </w:tcPr>
          <w:p w14:paraId="1327E17C"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10 - 15</w:t>
            </w:r>
          </w:p>
        </w:tc>
        <w:tc>
          <w:tcPr>
            <w:tcW w:w="2321" w:type="pct"/>
            <w:shd w:val="clear" w:color="auto" w:fill="FFC000"/>
          </w:tcPr>
          <w:p w14:paraId="7C0201C6"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High risk-priority action to be undertaken</w:t>
            </w:r>
          </w:p>
        </w:tc>
      </w:tr>
      <w:tr w:rsidR="00911045" w14:paraId="38AAD2A1" w14:textId="77777777" w:rsidTr="0005714B">
        <w:tc>
          <w:tcPr>
            <w:tcW w:w="2679" w:type="pct"/>
            <w:shd w:val="clear" w:color="auto" w:fill="FF0000"/>
          </w:tcPr>
          <w:p w14:paraId="64B8228D" w14:textId="77777777" w:rsidR="00911045" w:rsidRDefault="00911045" w:rsidP="0005714B">
            <w:pPr>
              <w:autoSpaceDE w:val="0"/>
              <w:autoSpaceDN w:val="0"/>
              <w:adjustRightInd w:val="0"/>
              <w:jc w:val="center"/>
              <w:rPr>
                <w:rFonts w:ascii="Arial" w:hAnsi="Arial" w:cs="Arial"/>
                <w:color w:val="000000"/>
              </w:rPr>
            </w:pPr>
            <w:r>
              <w:rPr>
                <w:rFonts w:ascii="Arial" w:hAnsi="Arial" w:cs="Arial"/>
                <w:color w:val="000000"/>
              </w:rPr>
              <w:t>16 - 25</w:t>
            </w:r>
          </w:p>
          <w:p w14:paraId="07125D28" w14:textId="77777777" w:rsidR="00911045" w:rsidRPr="00AF738B" w:rsidRDefault="00911045" w:rsidP="0005714B">
            <w:pPr>
              <w:rPr>
                <w:rFonts w:ascii="Arial" w:hAnsi="Arial" w:cs="Arial"/>
              </w:rPr>
            </w:pPr>
          </w:p>
        </w:tc>
        <w:tc>
          <w:tcPr>
            <w:tcW w:w="2321" w:type="pct"/>
            <w:shd w:val="clear" w:color="auto" w:fill="FF0000"/>
          </w:tcPr>
          <w:p w14:paraId="668C8A84" w14:textId="77777777" w:rsidR="00911045" w:rsidRDefault="00911045" w:rsidP="0005714B">
            <w:pPr>
              <w:autoSpaceDE w:val="0"/>
              <w:autoSpaceDN w:val="0"/>
              <w:adjustRightInd w:val="0"/>
              <w:jc w:val="both"/>
              <w:rPr>
                <w:rFonts w:ascii="Arial" w:hAnsi="Arial" w:cs="Arial"/>
                <w:color w:val="000000"/>
              </w:rPr>
            </w:pPr>
            <w:r>
              <w:rPr>
                <w:rFonts w:ascii="Arial" w:hAnsi="Arial" w:cs="Arial"/>
                <w:color w:val="000000"/>
              </w:rPr>
              <w:t>Unacceptable-action must be taken IMMEDITELY</w:t>
            </w:r>
          </w:p>
        </w:tc>
      </w:tr>
    </w:tbl>
    <w:p w14:paraId="76927103" w14:textId="77777777" w:rsidR="00911045" w:rsidRPr="00911045" w:rsidRDefault="00911045" w:rsidP="00724090">
      <w:pPr>
        <w:rPr>
          <w:u w:val="single"/>
        </w:rPr>
      </w:pPr>
    </w:p>
    <w:sectPr w:rsidR="00911045" w:rsidRPr="00911045" w:rsidSect="0007303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1300" w14:textId="77777777" w:rsidR="00073036" w:rsidRDefault="00073036" w:rsidP="00073036">
      <w:pPr>
        <w:spacing w:after="0" w:line="240" w:lineRule="auto"/>
      </w:pPr>
      <w:r>
        <w:separator/>
      </w:r>
    </w:p>
  </w:endnote>
  <w:endnote w:type="continuationSeparator" w:id="0">
    <w:p w14:paraId="763CD0DD" w14:textId="77777777" w:rsidR="00073036" w:rsidRDefault="00073036" w:rsidP="0007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D8A0" w14:textId="77777777" w:rsidR="00073036" w:rsidRDefault="00073036" w:rsidP="00073036">
      <w:pPr>
        <w:spacing w:after="0" w:line="240" w:lineRule="auto"/>
      </w:pPr>
      <w:r>
        <w:separator/>
      </w:r>
    </w:p>
  </w:footnote>
  <w:footnote w:type="continuationSeparator" w:id="0">
    <w:p w14:paraId="2C126421" w14:textId="77777777" w:rsidR="00073036" w:rsidRDefault="00073036" w:rsidP="0007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10B4" w14:textId="6187DA02" w:rsidR="00073036" w:rsidRPr="00A6170D" w:rsidRDefault="00073036">
    <w:pPr>
      <w:pStyle w:val="Header"/>
      <w:rPr>
        <w:b/>
        <w:bCs/>
        <w:u w:val="single"/>
      </w:rPr>
    </w:pPr>
    <w:r w:rsidRPr="00A6170D">
      <w:rPr>
        <w:b/>
        <w:bCs/>
        <w:noProof/>
        <w:u w:val="single"/>
        <w:lang w:eastAsia="en-GB"/>
      </w:rPr>
      <w:drawing>
        <wp:anchor distT="0" distB="0" distL="114300" distR="114300" simplePos="0" relativeHeight="251659264" behindDoc="1" locked="0" layoutInCell="1" allowOverlap="1" wp14:anchorId="6CDD0832" wp14:editId="18D7BFAC">
          <wp:simplePos x="0" y="0"/>
          <wp:positionH relativeFrom="page">
            <wp:posOffset>9220200</wp:posOffset>
          </wp:positionH>
          <wp:positionV relativeFrom="paragraph">
            <wp:posOffset>-210185</wp:posOffset>
          </wp:positionV>
          <wp:extent cx="1114425" cy="514350"/>
          <wp:effectExtent l="0" t="0" r="9525" b="0"/>
          <wp:wrapTight wrapText="bothSides">
            <wp:wrapPolygon edited="0">
              <wp:start x="0" y="0"/>
              <wp:lineTo x="0" y="20800"/>
              <wp:lineTo x="21415" y="20800"/>
              <wp:lineTo x="21415" y="0"/>
              <wp:lineTo x="0" y="0"/>
            </wp:wrapPolygon>
          </wp:wrapTight>
          <wp:docPr id="1007537249" name="Picture 1007537249" descr="cus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70D" w:rsidRPr="00A6170D">
      <w:rPr>
        <w:b/>
        <w:bCs/>
        <w:u w:val="single"/>
      </w:rPr>
      <w:t>Internal Governance and Accountability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7447"/>
    <w:multiLevelType w:val="hybridMultilevel"/>
    <w:tmpl w:val="40C8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C4C82"/>
    <w:multiLevelType w:val="hybridMultilevel"/>
    <w:tmpl w:val="BCD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F73C5"/>
    <w:multiLevelType w:val="hybridMultilevel"/>
    <w:tmpl w:val="463E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437325">
    <w:abstractNumId w:val="0"/>
  </w:num>
  <w:num w:numId="2" w16cid:durableId="1109013461">
    <w:abstractNumId w:val="1"/>
  </w:num>
  <w:num w:numId="3" w16cid:durableId="194846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6"/>
    <w:rsid w:val="00073036"/>
    <w:rsid w:val="00101ADF"/>
    <w:rsid w:val="00110FE8"/>
    <w:rsid w:val="001408BD"/>
    <w:rsid w:val="001B4A2B"/>
    <w:rsid w:val="001E6C5D"/>
    <w:rsid w:val="002A0847"/>
    <w:rsid w:val="0031363F"/>
    <w:rsid w:val="0046123C"/>
    <w:rsid w:val="00491C71"/>
    <w:rsid w:val="00511CD4"/>
    <w:rsid w:val="00527109"/>
    <w:rsid w:val="00596017"/>
    <w:rsid w:val="005B19ED"/>
    <w:rsid w:val="005C04C2"/>
    <w:rsid w:val="006D442B"/>
    <w:rsid w:val="00724090"/>
    <w:rsid w:val="007B434D"/>
    <w:rsid w:val="008B105F"/>
    <w:rsid w:val="00911045"/>
    <w:rsid w:val="00932A23"/>
    <w:rsid w:val="00945A07"/>
    <w:rsid w:val="009B2C1D"/>
    <w:rsid w:val="009C45CB"/>
    <w:rsid w:val="00A6170D"/>
    <w:rsid w:val="00AD342A"/>
    <w:rsid w:val="00AE1AC3"/>
    <w:rsid w:val="00B51B15"/>
    <w:rsid w:val="00BD2BA8"/>
    <w:rsid w:val="00BD7D7A"/>
    <w:rsid w:val="00C33770"/>
    <w:rsid w:val="00C51702"/>
    <w:rsid w:val="00C65EE9"/>
    <w:rsid w:val="00C86B32"/>
    <w:rsid w:val="00C9492F"/>
    <w:rsid w:val="00CE037C"/>
    <w:rsid w:val="00D9393E"/>
    <w:rsid w:val="00DC5FCA"/>
    <w:rsid w:val="00F2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E622"/>
  <w15:chartTrackingRefBased/>
  <w15:docId w15:val="{C08F5BAA-F59D-4107-855F-1617D3AD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036"/>
    <w:rPr>
      <w:rFonts w:eastAsiaTheme="majorEastAsia" w:cstheme="majorBidi"/>
      <w:color w:val="272727" w:themeColor="text1" w:themeTint="D8"/>
    </w:rPr>
  </w:style>
  <w:style w:type="paragraph" w:styleId="Title">
    <w:name w:val="Title"/>
    <w:basedOn w:val="Normal"/>
    <w:next w:val="Normal"/>
    <w:link w:val="TitleChar"/>
    <w:uiPriority w:val="10"/>
    <w:qFormat/>
    <w:rsid w:val="0007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036"/>
    <w:pPr>
      <w:spacing w:before="160"/>
      <w:jc w:val="center"/>
    </w:pPr>
    <w:rPr>
      <w:i/>
      <w:iCs/>
      <w:color w:val="404040" w:themeColor="text1" w:themeTint="BF"/>
    </w:rPr>
  </w:style>
  <w:style w:type="character" w:customStyle="1" w:styleId="QuoteChar">
    <w:name w:val="Quote Char"/>
    <w:basedOn w:val="DefaultParagraphFont"/>
    <w:link w:val="Quote"/>
    <w:uiPriority w:val="29"/>
    <w:rsid w:val="00073036"/>
    <w:rPr>
      <w:i/>
      <w:iCs/>
      <w:color w:val="404040" w:themeColor="text1" w:themeTint="BF"/>
    </w:rPr>
  </w:style>
  <w:style w:type="paragraph" w:styleId="ListParagraph">
    <w:name w:val="List Paragraph"/>
    <w:basedOn w:val="Normal"/>
    <w:uiPriority w:val="34"/>
    <w:qFormat/>
    <w:rsid w:val="00073036"/>
    <w:pPr>
      <w:ind w:left="720"/>
      <w:contextualSpacing/>
    </w:pPr>
  </w:style>
  <w:style w:type="character" w:styleId="IntenseEmphasis">
    <w:name w:val="Intense Emphasis"/>
    <w:basedOn w:val="DefaultParagraphFont"/>
    <w:uiPriority w:val="21"/>
    <w:qFormat/>
    <w:rsid w:val="00073036"/>
    <w:rPr>
      <w:i/>
      <w:iCs/>
      <w:color w:val="0F4761" w:themeColor="accent1" w:themeShade="BF"/>
    </w:rPr>
  </w:style>
  <w:style w:type="paragraph" w:styleId="IntenseQuote">
    <w:name w:val="Intense Quote"/>
    <w:basedOn w:val="Normal"/>
    <w:next w:val="Normal"/>
    <w:link w:val="IntenseQuoteChar"/>
    <w:uiPriority w:val="30"/>
    <w:qFormat/>
    <w:rsid w:val="0007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036"/>
    <w:rPr>
      <w:i/>
      <w:iCs/>
      <w:color w:val="0F4761" w:themeColor="accent1" w:themeShade="BF"/>
    </w:rPr>
  </w:style>
  <w:style w:type="character" w:styleId="IntenseReference">
    <w:name w:val="Intense Reference"/>
    <w:basedOn w:val="DefaultParagraphFont"/>
    <w:uiPriority w:val="32"/>
    <w:qFormat/>
    <w:rsid w:val="00073036"/>
    <w:rPr>
      <w:b/>
      <w:bCs/>
      <w:smallCaps/>
      <w:color w:val="0F4761" w:themeColor="accent1" w:themeShade="BF"/>
      <w:spacing w:val="5"/>
    </w:rPr>
  </w:style>
  <w:style w:type="paragraph" w:styleId="Header">
    <w:name w:val="header"/>
    <w:basedOn w:val="Normal"/>
    <w:link w:val="HeaderChar"/>
    <w:uiPriority w:val="99"/>
    <w:unhideWhenUsed/>
    <w:rsid w:val="0007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36"/>
  </w:style>
  <w:style w:type="paragraph" w:styleId="Footer">
    <w:name w:val="footer"/>
    <w:basedOn w:val="Normal"/>
    <w:link w:val="FooterChar"/>
    <w:uiPriority w:val="99"/>
    <w:unhideWhenUsed/>
    <w:rsid w:val="0007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36"/>
  </w:style>
  <w:style w:type="table" w:styleId="TableGrid">
    <w:name w:val="Table Grid"/>
    <w:basedOn w:val="TableNormal"/>
    <w:uiPriority w:val="59"/>
    <w:rsid w:val="009110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C413-2CB9-4B0D-A885-A5189E64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Grundon</dc:creator>
  <cp:keywords/>
  <dc:description/>
  <cp:lastModifiedBy>Shaun Grundon</cp:lastModifiedBy>
  <cp:revision>3</cp:revision>
  <dcterms:created xsi:type="dcterms:W3CDTF">2025-01-24T12:53:00Z</dcterms:created>
  <dcterms:modified xsi:type="dcterms:W3CDTF">2025-03-28T14:39:00Z</dcterms:modified>
</cp:coreProperties>
</file>